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21" w:rsidRPr="000963FF" w:rsidRDefault="00D30721" w:rsidP="00796D8A">
      <w:pPr>
        <w:tabs>
          <w:tab w:val="left" w:pos="2700"/>
          <w:tab w:val="left" w:pos="2880"/>
        </w:tabs>
        <w:ind w:left="1134"/>
        <w:rPr>
          <w:b/>
          <w:kern w:val="2"/>
        </w:rPr>
      </w:pPr>
      <w:r w:rsidRPr="00550480">
        <w:rPr>
          <w:b/>
          <w:kern w:val="2"/>
          <w:u w:val="single"/>
        </w:rPr>
        <w:t>LA REGIONALISATION DE L’IMPOT DES PERSONNES PHYSIQUES : SIXIEME REFORME DE L’ETAT</w:t>
      </w:r>
      <w:r>
        <w:rPr>
          <w:rStyle w:val="FootnoteReference"/>
          <w:b/>
          <w:kern w:val="2"/>
        </w:rPr>
        <w:footnoteReference w:id="1"/>
      </w:r>
    </w:p>
    <w:p w:rsidR="00D30721" w:rsidRDefault="00D30721" w:rsidP="00447382">
      <w:pPr>
        <w:ind w:left="1980"/>
        <w:rPr>
          <w:kern w:val="2"/>
        </w:rPr>
      </w:pPr>
    </w:p>
    <w:p w:rsidR="00D30721" w:rsidRDefault="00D30721" w:rsidP="00447382">
      <w:pPr>
        <w:ind w:left="1980"/>
        <w:rPr>
          <w:kern w:val="2"/>
          <w:sz w:val="22"/>
          <w:szCs w:val="22"/>
        </w:rPr>
      </w:pPr>
    </w:p>
    <w:p w:rsidR="00D30721" w:rsidRDefault="00D30721" w:rsidP="00447382">
      <w:pPr>
        <w:tabs>
          <w:tab w:val="left" w:pos="2700"/>
        </w:tabs>
        <w:ind w:left="1980"/>
        <w:rPr>
          <w:sz w:val="20"/>
          <w:szCs w:val="20"/>
        </w:rPr>
      </w:pPr>
    </w:p>
    <w:p w:rsidR="00D30721" w:rsidRDefault="00D30721" w:rsidP="00796D8A">
      <w:pPr>
        <w:ind w:left="1134" w:firstLine="5"/>
        <w:jc w:val="both"/>
      </w:pPr>
      <w:r>
        <w:t>La présente note a pour objet de brosser brièvement les premiers contours de la sixième réforme de l’Etat.</w:t>
      </w:r>
    </w:p>
    <w:p w:rsidR="00D30721" w:rsidRDefault="00D30721" w:rsidP="00796D8A">
      <w:pPr>
        <w:ind w:left="1134" w:firstLine="5"/>
        <w:jc w:val="both"/>
      </w:pPr>
    </w:p>
    <w:p w:rsidR="00D30721" w:rsidRDefault="00D30721" w:rsidP="00796D8A">
      <w:pPr>
        <w:ind w:left="1134" w:firstLine="5"/>
        <w:jc w:val="both"/>
      </w:pPr>
      <w:r>
        <w:t>La sixième réforme de l’Etat est adoptée par un loi spéciale du 6 janvier 2014 qui a pour objectif d’octroyer aux Régions une importante autonomie tarifaire en matière d’impôt des personnes physiques et une exclusivité de compétence en ce qui concerne les réductions ou crédits d’impôts à l’impôt des personnes physiques liées à leurs compétences matérielles.</w:t>
      </w:r>
    </w:p>
    <w:p w:rsidR="00D30721" w:rsidRDefault="00D30721" w:rsidP="00796D8A">
      <w:pPr>
        <w:ind w:left="1134" w:firstLine="5"/>
        <w:jc w:val="both"/>
      </w:pPr>
    </w:p>
    <w:p w:rsidR="00D30721" w:rsidRDefault="00D30721" w:rsidP="00796D8A">
      <w:pPr>
        <w:ind w:left="1134" w:firstLine="5"/>
        <w:jc w:val="both"/>
      </w:pPr>
      <w:r>
        <w:t>La loi entre en vigueur le 1</w:t>
      </w:r>
      <w:r w:rsidRPr="000963FF">
        <w:rPr>
          <w:vertAlign w:val="superscript"/>
        </w:rPr>
        <w:t>er</w:t>
      </w:r>
      <w:r>
        <w:t xml:space="preserve"> juillet 2014 et est applicable dès l’exercice d’imposition 2015, soit pour les revenus perçus déjà cette année 2014 !</w:t>
      </w:r>
    </w:p>
    <w:p w:rsidR="00D30721" w:rsidRDefault="00D30721" w:rsidP="00796D8A">
      <w:pPr>
        <w:ind w:left="1134" w:firstLine="5"/>
        <w:jc w:val="both"/>
      </w:pPr>
    </w:p>
    <w:p w:rsidR="00D30721" w:rsidRDefault="00D30721" w:rsidP="00796D8A">
      <w:pPr>
        <w:ind w:left="1134" w:firstLine="5"/>
        <w:jc w:val="both"/>
      </w:pPr>
    </w:p>
    <w:p w:rsidR="00D30721" w:rsidRPr="00796D8A" w:rsidRDefault="00D30721" w:rsidP="00796D8A">
      <w:pPr>
        <w:pStyle w:val="ListParagraph"/>
        <w:numPr>
          <w:ilvl w:val="0"/>
          <w:numId w:val="3"/>
        </w:numPr>
        <w:jc w:val="both"/>
      </w:pPr>
      <w:r w:rsidRPr="00796D8A">
        <w:rPr>
          <w:b/>
          <w:caps/>
          <w:u w:val="single"/>
        </w:rPr>
        <w:t>Autonomie fiscale des régions</w:t>
      </w:r>
      <w:r w:rsidRPr="00796D8A">
        <w:rPr>
          <w:caps/>
        </w:rPr>
        <w:t>.</w:t>
      </w:r>
    </w:p>
    <w:p w:rsidR="00D30721" w:rsidRDefault="00D30721" w:rsidP="00447382">
      <w:pPr>
        <w:pStyle w:val="ListParagraph"/>
        <w:ind w:left="2345"/>
        <w:jc w:val="both"/>
      </w:pPr>
    </w:p>
    <w:p w:rsidR="00D30721" w:rsidRDefault="00D30721" w:rsidP="00796D8A">
      <w:pPr>
        <w:ind w:left="1134" w:firstLine="5"/>
        <w:jc w:val="both"/>
      </w:pPr>
      <w:r>
        <w:t>1.</w:t>
      </w:r>
    </w:p>
    <w:p w:rsidR="00D30721" w:rsidRDefault="00D30721" w:rsidP="00796D8A">
      <w:pPr>
        <w:ind w:left="1134" w:firstLine="5"/>
        <w:jc w:val="both"/>
      </w:pPr>
      <w:r>
        <w:t>Le calcul de l’impôt des personnes physiques (I.P.P.) régional se calcule sur le montant de l’I.P.P. fédéral, qui est réduit d’environ un quart, après l’application de la quotité exemptée d’impôt, de la réduction d’impôt pour pensions et revenus de remplacement et de la réduction d’impôt pour revenus d’origine étrangère.</w:t>
      </w:r>
    </w:p>
    <w:p w:rsidR="00D30721" w:rsidRDefault="00D30721" w:rsidP="00447382">
      <w:pPr>
        <w:ind w:left="1980" w:firstLine="5"/>
        <w:jc w:val="both"/>
      </w:pPr>
    </w:p>
    <w:p w:rsidR="00D30721" w:rsidRDefault="00D30721" w:rsidP="00796D8A">
      <w:pPr>
        <w:ind w:left="1134" w:firstLine="5"/>
        <w:jc w:val="both"/>
      </w:pPr>
      <w:r>
        <w:t>Sur cet impôt fédéral réduit, est instauré un additionnel régional d’environ 33%.</w:t>
      </w:r>
    </w:p>
    <w:p w:rsidR="00D30721" w:rsidRDefault="00D30721" w:rsidP="00796D8A">
      <w:pPr>
        <w:ind w:left="1134" w:firstLine="5"/>
        <w:jc w:val="both"/>
      </w:pPr>
    </w:p>
    <w:p w:rsidR="00D30721" w:rsidRDefault="00D30721" w:rsidP="00796D8A">
      <w:pPr>
        <w:ind w:left="1134" w:firstLine="5"/>
        <w:jc w:val="both"/>
      </w:pPr>
      <w:r>
        <w:t>2.</w:t>
      </w:r>
    </w:p>
    <w:p w:rsidR="00D30721" w:rsidRDefault="00D30721" w:rsidP="00796D8A">
      <w:pPr>
        <w:tabs>
          <w:tab w:val="left" w:pos="2700"/>
          <w:tab w:val="left" w:pos="2880"/>
        </w:tabs>
        <w:ind w:left="1134"/>
        <w:jc w:val="both"/>
      </w:pPr>
      <w:r>
        <w:t>Les Régions ont la liberté d’adopter des additionnels régionaux, sans plafond, avec la possibilité de choisir sur quelle part de l’impôt fédéral elles appliquent leur additionnel.</w:t>
      </w:r>
    </w:p>
    <w:p w:rsidR="00D30721" w:rsidRDefault="00D30721" w:rsidP="00796D8A">
      <w:pPr>
        <w:ind w:left="1134" w:firstLine="5"/>
        <w:jc w:val="both"/>
      </w:pPr>
    </w:p>
    <w:p w:rsidR="00D30721" w:rsidRDefault="00D30721" w:rsidP="00796D8A">
      <w:pPr>
        <w:ind w:left="1134" w:firstLine="5"/>
        <w:jc w:val="both"/>
      </w:pPr>
      <w:r>
        <w:t>3.</w:t>
      </w:r>
    </w:p>
    <w:p w:rsidR="00D30721" w:rsidRDefault="00D30721" w:rsidP="00796D8A">
      <w:pPr>
        <w:tabs>
          <w:tab w:val="left" w:pos="2700"/>
          <w:tab w:val="left" w:pos="2880"/>
        </w:tabs>
        <w:ind w:left="1134"/>
        <w:jc w:val="both"/>
      </w:pPr>
      <w:r>
        <w:t>De manière schématique, nous pouvons reprendre le calcul de l’I.P.P. de la manière suivante :</w:t>
      </w:r>
    </w:p>
    <w:p w:rsidR="00D30721" w:rsidRDefault="00D30721" w:rsidP="00796D8A">
      <w:pPr>
        <w:tabs>
          <w:tab w:val="left" w:pos="2700"/>
          <w:tab w:val="left" w:pos="2880"/>
        </w:tabs>
        <w:ind w:left="1134"/>
      </w:pPr>
    </w:p>
    <w:p w:rsidR="00D30721" w:rsidRDefault="00D30721" w:rsidP="00796D8A">
      <w:pPr>
        <w:tabs>
          <w:tab w:val="left" w:pos="2700"/>
          <w:tab w:val="left" w:pos="2880"/>
        </w:tabs>
        <w:ind w:left="1134"/>
        <w:rPr>
          <w:b/>
        </w:rPr>
      </w:pPr>
      <w:r>
        <w:rPr>
          <w:b/>
        </w:rPr>
        <w:t>Composition du revenu imposable globalement :</w:t>
      </w:r>
    </w:p>
    <w:p w:rsidR="00D30721" w:rsidRDefault="00D30721" w:rsidP="00796D8A">
      <w:pPr>
        <w:tabs>
          <w:tab w:val="left" w:pos="2700"/>
          <w:tab w:val="left" w:pos="2880"/>
        </w:tabs>
        <w:ind w:left="1134"/>
        <w:rPr>
          <w:b/>
        </w:rPr>
      </w:pPr>
    </w:p>
    <w:p w:rsidR="00D30721" w:rsidRDefault="00D30721" w:rsidP="00796D8A">
      <w:pPr>
        <w:pStyle w:val="ListParagraph"/>
        <w:numPr>
          <w:ilvl w:val="0"/>
          <w:numId w:val="2"/>
        </w:numPr>
        <w:tabs>
          <w:tab w:val="left" w:pos="2700"/>
          <w:tab w:val="left" w:pos="2880"/>
        </w:tabs>
        <w:ind w:left="1560"/>
      </w:pPr>
      <w:r>
        <w:t>revenu net des biens immobiliers ;</w:t>
      </w:r>
    </w:p>
    <w:p w:rsidR="00D30721" w:rsidRDefault="00D30721" w:rsidP="00796D8A">
      <w:pPr>
        <w:pStyle w:val="ListParagraph"/>
        <w:numPr>
          <w:ilvl w:val="0"/>
          <w:numId w:val="2"/>
        </w:numPr>
        <w:tabs>
          <w:tab w:val="left" w:pos="2700"/>
          <w:tab w:val="left" w:pos="2880"/>
        </w:tabs>
        <w:ind w:left="1560"/>
      </w:pPr>
      <w:r>
        <w:t>revenu net des capitaux et biens mobiliers ;</w:t>
      </w:r>
    </w:p>
    <w:p w:rsidR="00D30721" w:rsidRDefault="00D30721" w:rsidP="00472BFE">
      <w:pPr>
        <w:pStyle w:val="ListParagraph"/>
        <w:numPr>
          <w:ilvl w:val="0"/>
          <w:numId w:val="2"/>
        </w:numPr>
        <w:tabs>
          <w:tab w:val="left" w:pos="2700"/>
          <w:tab w:val="left" w:pos="2880"/>
        </w:tabs>
      </w:pPr>
      <w:r>
        <w:t>revenu net professionnel (rémunération, bénéfices ou produits) ;</w:t>
      </w:r>
    </w:p>
    <w:p w:rsidR="00D30721" w:rsidRPr="00452BFE" w:rsidRDefault="00D30721" w:rsidP="00796D8A">
      <w:pPr>
        <w:pStyle w:val="ListParagraph"/>
        <w:numPr>
          <w:ilvl w:val="0"/>
          <w:numId w:val="2"/>
        </w:numPr>
        <w:tabs>
          <w:tab w:val="left" w:pos="2700"/>
          <w:tab w:val="left" w:pos="2880"/>
        </w:tabs>
        <w:ind w:left="1560"/>
        <w:rPr>
          <w:b/>
          <w:u w:val="single"/>
        </w:rPr>
      </w:pPr>
      <w:r w:rsidRPr="00452BFE">
        <w:rPr>
          <w:u w:val="single"/>
        </w:rPr>
        <w:t>revenus nets divers</w:t>
      </w:r>
    </w:p>
    <w:p w:rsidR="00D30721" w:rsidRDefault="00D30721" w:rsidP="00796D8A">
      <w:pPr>
        <w:pStyle w:val="ListParagraph"/>
        <w:tabs>
          <w:tab w:val="left" w:pos="2700"/>
          <w:tab w:val="left" w:pos="2880"/>
        </w:tabs>
        <w:ind w:left="1134"/>
        <w:rPr>
          <w:u w:val="single"/>
        </w:rPr>
      </w:pPr>
    </w:p>
    <w:p w:rsidR="00D30721" w:rsidRDefault="00D30721" w:rsidP="00796D8A">
      <w:pPr>
        <w:pStyle w:val="ListParagraph"/>
        <w:tabs>
          <w:tab w:val="left" w:pos="2700"/>
          <w:tab w:val="left" w:pos="2880"/>
        </w:tabs>
        <w:ind w:left="1560"/>
        <w:rPr>
          <w:b/>
        </w:rPr>
      </w:pPr>
      <w:r>
        <w:t xml:space="preserve">=   </w:t>
      </w:r>
      <w:r>
        <w:rPr>
          <w:b/>
        </w:rPr>
        <w:t>ensemble des revenus nets imposables globalement (A)</w:t>
      </w:r>
    </w:p>
    <w:p w:rsidR="00D30721" w:rsidRDefault="00D30721" w:rsidP="00796D8A">
      <w:pPr>
        <w:tabs>
          <w:tab w:val="left" w:pos="2700"/>
          <w:tab w:val="left" w:pos="2880"/>
        </w:tabs>
        <w:ind w:left="1134"/>
        <w:rPr>
          <w:b/>
        </w:rPr>
      </w:pPr>
    </w:p>
    <w:p w:rsidR="00D30721" w:rsidRPr="009C515B" w:rsidRDefault="00D30721" w:rsidP="009C515B">
      <w:pPr>
        <w:pStyle w:val="ListParagraph"/>
        <w:numPr>
          <w:ilvl w:val="0"/>
          <w:numId w:val="2"/>
        </w:numPr>
        <w:tabs>
          <w:tab w:val="left" w:pos="2700"/>
          <w:tab w:val="left" w:pos="2880"/>
        </w:tabs>
        <w:ind w:left="2700" w:hanging="1500"/>
        <w:rPr>
          <w:sz w:val="22"/>
          <w:szCs w:val="22"/>
          <w:u w:val="single"/>
        </w:rPr>
      </w:pPr>
      <w:r w:rsidRPr="009C515B">
        <w:rPr>
          <w:b/>
          <w:sz w:val="22"/>
          <w:szCs w:val="22"/>
          <w:u w:val="single"/>
        </w:rPr>
        <w:t>rente alimentaire déductible de l’ensemble des revenus nets (B)</w:t>
      </w:r>
    </w:p>
    <w:p w:rsidR="00D30721" w:rsidRDefault="00D30721" w:rsidP="00796D8A">
      <w:pPr>
        <w:pStyle w:val="ListParagraph"/>
        <w:tabs>
          <w:tab w:val="left" w:pos="2700"/>
          <w:tab w:val="left" w:pos="2880"/>
        </w:tabs>
        <w:ind w:left="1134"/>
        <w:rPr>
          <w:b/>
          <w:u w:val="single"/>
        </w:rPr>
      </w:pPr>
    </w:p>
    <w:p w:rsidR="00D30721" w:rsidRPr="00452BFE" w:rsidRDefault="00D30721" w:rsidP="00796D8A">
      <w:pPr>
        <w:pStyle w:val="ListParagraph"/>
        <w:tabs>
          <w:tab w:val="left" w:pos="2700"/>
          <w:tab w:val="left" w:pos="2880"/>
        </w:tabs>
        <w:ind w:left="1843" w:hanging="283"/>
        <w:rPr>
          <w:b/>
        </w:rPr>
      </w:pPr>
      <w:r w:rsidRPr="00452BFE">
        <w:rPr>
          <w:b/>
        </w:rPr>
        <w:t xml:space="preserve">= </w:t>
      </w:r>
      <w:r>
        <w:rPr>
          <w:b/>
        </w:rPr>
        <w:t xml:space="preserve"> </w:t>
      </w:r>
      <w:r w:rsidRPr="00452BFE">
        <w:rPr>
          <w:b/>
        </w:rPr>
        <w:t>revenu net imposable globalement</w:t>
      </w:r>
      <w:r>
        <w:rPr>
          <w:b/>
        </w:rPr>
        <w:t xml:space="preserve"> (A moins B = R.I.G.) plus revenu net  imposable distinctement.</w:t>
      </w:r>
    </w:p>
    <w:p w:rsidR="00D30721" w:rsidRDefault="00D30721" w:rsidP="00796D8A">
      <w:pPr>
        <w:tabs>
          <w:tab w:val="left" w:pos="2700"/>
          <w:tab w:val="left" w:pos="2880"/>
        </w:tabs>
        <w:ind w:left="1134"/>
      </w:pPr>
    </w:p>
    <w:p w:rsidR="00D30721" w:rsidRDefault="00D30721" w:rsidP="00796D8A">
      <w:pPr>
        <w:tabs>
          <w:tab w:val="left" w:pos="2700"/>
          <w:tab w:val="left" w:pos="2880"/>
        </w:tabs>
        <w:ind w:left="1134"/>
      </w:pPr>
      <w:r>
        <w:t>L’impôt de base est calculé suivant le barème fédéral sur le R.I.G.</w:t>
      </w:r>
    </w:p>
    <w:p w:rsidR="00D30721" w:rsidRDefault="00D30721" w:rsidP="00796D8A">
      <w:pPr>
        <w:tabs>
          <w:tab w:val="left" w:pos="2700"/>
          <w:tab w:val="left" w:pos="2880"/>
        </w:tabs>
        <w:ind w:left="1134"/>
      </w:pPr>
    </w:p>
    <w:p w:rsidR="00D30721" w:rsidRDefault="00D30721" w:rsidP="00796D8A">
      <w:pPr>
        <w:tabs>
          <w:tab w:val="left" w:pos="2700"/>
          <w:tab w:val="left" w:pos="2880"/>
        </w:tabs>
        <w:ind w:left="1134"/>
        <w:jc w:val="both"/>
      </w:pPr>
      <w:r>
        <w:t>L’impôt à répartir est l’impôt de base dont on a enlevé l’impôt afférent à la quotité exemptée et aux suppléments.</w:t>
      </w:r>
    </w:p>
    <w:p w:rsidR="00D30721" w:rsidRDefault="00D30721" w:rsidP="00447382">
      <w:pPr>
        <w:tabs>
          <w:tab w:val="left" w:pos="2700"/>
          <w:tab w:val="left" w:pos="2880"/>
        </w:tabs>
        <w:ind w:left="1276"/>
        <w:jc w:val="both"/>
      </w:pPr>
    </w:p>
    <w:p w:rsidR="00D30721" w:rsidRDefault="00D30721" w:rsidP="00796D8A">
      <w:pPr>
        <w:ind w:left="1134" w:firstLine="5"/>
        <w:jc w:val="both"/>
      </w:pPr>
      <w:r>
        <w:t>On en déduit ensuite les réductions d’impôt pour pensions et revenus de remplacement et réduction d’impôt pour revenus étrangers.</w:t>
      </w:r>
    </w:p>
    <w:p w:rsidR="00D30721" w:rsidRDefault="00D30721" w:rsidP="00447382">
      <w:pPr>
        <w:tabs>
          <w:tab w:val="left" w:pos="2700"/>
          <w:tab w:val="left" w:pos="2880"/>
        </w:tabs>
        <w:ind w:left="1276"/>
        <w:jc w:val="both"/>
      </w:pPr>
    </w:p>
    <w:p w:rsidR="00D30721" w:rsidRDefault="00D30721" w:rsidP="00796D8A">
      <w:pPr>
        <w:ind w:left="1134" w:firstLine="5"/>
        <w:jc w:val="both"/>
      </w:pPr>
      <w:r>
        <w:t xml:space="preserve">Ensuite, on opère une addition de l’impôt sur les revenus imposés distinctement et du principal (impôt à répartir, moins réduction d’impôt pour pensions et revenus de remplacement) sur les revenus imposés globalement (X). </w:t>
      </w:r>
    </w:p>
    <w:p w:rsidR="00D30721" w:rsidRDefault="00D30721" w:rsidP="00447382">
      <w:pPr>
        <w:tabs>
          <w:tab w:val="left" w:pos="2700"/>
          <w:tab w:val="left" w:pos="2880"/>
        </w:tabs>
        <w:ind w:left="1276"/>
        <w:jc w:val="both"/>
      </w:pPr>
    </w:p>
    <w:p w:rsidR="00D30721" w:rsidRDefault="00D30721" w:rsidP="00796D8A">
      <w:pPr>
        <w:ind w:left="1134" w:firstLine="5"/>
        <w:jc w:val="both"/>
      </w:pPr>
      <w:r>
        <w:t>On soustrait de X l’impôt afférent aux intérêts, dividendes, redevances, lots afférents au titre d’emprunts et de plus-values sur titres et valeurs mobiliers imposés comme revenus divers (Y).</w:t>
      </w:r>
    </w:p>
    <w:p w:rsidR="00D30721" w:rsidRDefault="00D30721" w:rsidP="00447382">
      <w:pPr>
        <w:tabs>
          <w:tab w:val="left" w:pos="2700"/>
          <w:tab w:val="left" w:pos="2880"/>
        </w:tabs>
        <w:ind w:left="1276"/>
        <w:jc w:val="both"/>
      </w:pPr>
    </w:p>
    <w:p w:rsidR="00D30721" w:rsidRDefault="00D30721" w:rsidP="00796D8A">
      <w:pPr>
        <w:ind w:left="1134" w:firstLine="5"/>
        <w:jc w:val="both"/>
      </w:pPr>
      <w:r>
        <w:t>Cet impôt reste 100% fédéral.</w:t>
      </w:r>
    </w:p>
    <w:p w:rsidR="00D30721" w:rsidRDefault="00D30721" w:rsidP="00447382">
      <w:pPr>
        <w:tabs>
          <w:tab w:val="left" w:pos="2700"/>
          <w:tab w:val="left" w:pos="2880"/>
        </w:tabs>
        <w:ind w:left="1276"/>
        <w:jc w:val="both"/>
      </w:pPr>
    </w:p>
    <w:p w:rsidR="00D30721" w:rsidRDefault="00D30721" w:rsidP="00796D8A">
      <w:pPr>
        <w:ind w:left="1134" w:firstLine="5"/>
        <w:jc w:val="both"/>
      </w:pPr>
      <w:r>
        <w:t>X moins Y = l’impôt de l’Etat.</w:t>
      </w:r>
    </w:p>
    <w:p w:rsidR="00D30721" w:rsidRDefault="00D30721" w:rsidP="00796D8A">
      <w:pPr>
        <w:ind w:left="1134" w:firstLine="5"/>
        <w:jc w:val="both"/>
      </w:pPr>
    </w:p>
    <w:p w:rsidR="00D30721" w:rsidRDefault="00D30721" w:rsidP="009C515B">
      <w:pPr>
        <w:ind w:left="1134" w:firstLine="5"/>
        <w:jc w:val="both"/>
      </w:pPr>
      <w:r>
        <w:t>L’impôt régional se calcule sur l’impôt de l’Etat réduit d’un quart ci-après dénommé « impôt Etat réduit ».</w:t>
      </w:r>
    </w:p>
    <w:p w:rsidR="00D30721" w:rsidRDefault="00D30721" w:rsidP="00447382">
      <w:pPr>
        <w:tabs>
          <w:tab w:val="left" w:pos="2700"/>
          <w:tab w:val="left" w:pos="2880"/>
        </w:tabs>
        <w:ind w:left="1276"/>
        <w:jc w:val="both"/>
      </w:pPr>
    </w:p>
    <w:p w:rsidR="00D30721" w:rsidRDefault="00D30721" w:rsidP="00796D8A">
      <w:pPr>
        <w:tabs>
          <w:tab w:val="left" w:pos="2700"/>
          <w:tab w:val="left" w:pos="2880"/>
        </w:tabs>
        <w:ind w:left="1134"/>
        <w:jc w:val="both"/>
        <w:rPr>
          <w:b/>
        </w:rPr>
      </w:pPr>
      <w:r>
        <w:rPr>
          <w:b/>
          <w:smallCaps/>
        </w:rPr>
        <w:t>Comment se calcule l’impôt Etat réduit ?</w:t>
      </w:r>
    </w:p>
    <w:p w:rsidR="00D30721" w:rsidRDefault="00D30721" w:rsidP="00447382">
      <w:pPr>
        <w:tabs>
          <w:tab w:val="left" w:pos="2700"/>
          <w:tab w:val="left" w:pos="2880"/>
        </w:tabs>
        <w:ind w:left="1276"/>
        <w:jc w:val="both"/>
        <w:rPr>
          <w:b/>
        </w:rPr>
      </w:pPr>
    </w:p>
    <w:p w:rsidR="00D30721" w:rsidRDefault="00D30721" w:rsidP="00796D8A">
      <w:pPr>
        <w:tabs>
          <w:tab w:val="left" w:pos="2700"/>
          <w:tab w:val="left" w:pos="2880"/>
        </w:tabs>
        <w:ind w:left="1134"/>
        <w:jc w:val="both"/>
      </w:pPr>
      <w:r>
        <w:t>Cet impôt se calcule comme suit :</w:t>
      </w:r>
    </w:p>
    <w:p w:rsidR="00D30721" w:rsidRDefault="00D30721" w:rsidP="00796D8A">
      <w:pPr>
        <w:tabs>
          <w:tab w:val="left" w:pos="2700"/>
          <w:tab w:val="left" w:pos="2880"/>
        </w:tabs>
        <w:ind w:left="1134"/>
        <w:jc w:val="both"/>
      </w:pPr>
    </w:p>
    <w:p w:rsidR="00D30721" w:rsidRDefault="00D30721" w:rsidP="009C515B">
      <w:pPr>
        <w:tabs>
          <w:tab w:val="left" w:pos="2880"/>
        </w:tabs>
        <w:ind w:left="1080"/>
        <w:jc w:val="center"/>
      </w:pPr>
      <w:r>
        <w:t>Impôt de l’Etat – (l’impôt de l’Etat  x un « facteur d’autonomie » (25,99%)).</w:t>
      </w:r>
    </w:p>
    <w:p w:rsidR="00D30721" w:rsidRDefault="00D30721" w:rsidP="00796D8A">
      <w:pPr>
        <w:tabs>
          <w:tab w:val="left" w:pos="2700"/>
          <w:tab w:val="left" w:pos="2880"/>
        </w:tabs>
        <w:ind w:left="1134"/>
        <w:jc w:val="both"/>
      </w:pPr>
    </w:p>
    <w:p w:rsidR="00D30721" w:rsidRDefault="00D30721" w:rsidP="00796D8A">
      <w:pPr>
        <w:tabs>
          <w:tab w:val="left" w:pos="2700"/>
          <w:tab w:val="left" w:pos="2880"/>
        </w:tabs>
        <w:ind w:left="1134"/>
        <w:jc w:val="both"/>
      </w:pPr>
    </w:p>
    <w:p w:rsidR="00D30721" w:rsidRPr="009C515B" w:rsidRDefault="00D30721" w:rsidP="00796D8A">
      <w:pPr>
        <w:tabs>
          <w:tab w:val="left" w:pos="2700"/>
          <w:tab w:val="left" w:pos="2880"/>
        </w:tabs>
        <w:ind w:left="1134"/>
        <w:jc w:val="both"/>
        <w:rPr>
          <w:b/>
          <w:smallCaps/>
        </w:rPr>
      </w:pPr>
      <w:r w:rsidRPr="009C515B">
        <w:rPr>
          <w:b/>
          <w:smallCaps/>
        </w:rPr>
        <w:t>Comment se calcule l’impôt des personnes physiques fédérales ?</w:t>
      </w:r>
    </w:p>
    <w:p w:rsidR="00D30721" w:rsidRDefault="00D30721" w:rsidP="00796D8A">
      <w:pPr>
        <w:tabs>
          <w:tab w:val="left" w:pos="2700"/>
          <w:tab w:val="left" w:pos="2880"/>
        </w:tabs>
        <w:ind w:left="1134"/>
        <w:jc w:val="both"/>
      </w:pPr>
    </w:p>
    <w:p w:rsidR="00D30721" w:rsidRDefault="00D30721" w:rsidP="00796D8A">
      <w:pPr>
        <w:tabs>
          <w:tab w:val="left" w:pos="2700"/>
          <w:tab w:val="left" w:pos="2880"/>
        </w:tabs>
        <w:ind w:left="1134"/>
        <w:jc w:val="both"/>
      </w:pPr>
      <w:r>
        <w:t>Il se calcule en partant de l’impôt Etat réduit auquel on ajoute les impôts afférents aux dividendes, intérêts, redevances, lots afférents au titre d’emprunts et plus-values sur titres.</w:t>
      </w:r>
    </w:p>
    <w:p w:rsidR="00D30721" w:rsidRDefault="00D30721" w:rsidP="00796D8A">
      <w:pPr>
        <w:tabs>
          <w:tab w:val="left" w:pos="2700"/>
          <w:tab w:val="left" w:pos="2880"/>
        </w:tabs>
        <w:ind w:left="1134"/>
        <w:jc w:val="both"/>
      </w:pPr>
    </w:p>
    <w:p w:rsidR="00D30721" w:rsidRDefault="00D30721" w:rsidP="00796D8A">
      <w:pPr>
        <w:tabs>
          <w:tab w:val="left" w:pos="2700"/>
          <w:tab w:val="left" w:pos="2880"/>
        </w:tabs>
        <w:ind w:left="1134"/>
        <w:jc w:val="both"/>
      </w:pPr>
      <w:r>
        <w:t>On y déduit les autres réductions d’impôt fédéral.</w:t>
      </w:r>
    </w:p>
    <w:p w:rsidR="00D30721" w:rsidRDefault="00D30721" w:rsidP="00796D8A">
      <w:pPr>
        <w:tabs>
          <w:tab w:val="left" w:pos="2700"/>
          <w:tab w:val="left" w:pos="2880"/>
        </w:tabs>
        <w:ind w:left="1134"/>
        <w:jc w:val="both"/>
      </w:pPr>
    </w:p>
    <w:p w:rsidR="00D30721" w:rsidRDefault="00D30721" w:rsidP="00796D8A">
      <w:pPr>
        <w:tabs>
          <w:tab w:val="left" w:pos="2700"/>
          <w:tab w:val="left" w:pos="2880"/>
        </w:tabs>
        <w:ind w:left="1134"/>
        <w:jc w:val="both"/>
      </w:pPr>
      <w:r>
        <w:t>4.</w:t>
      </w:r>
    </w:p>
    <w:p w:rsidR="00D30721" w:rsidRPr="009C515B" w:rsidRDefault="00D30721" w:rsidP="00796D8A">
      <w:pPr>
        <w:tabs>
          <w:tab w:val="left" w:pos="2700"/>
          <w:tab w:val="left" w:pos="2880"/>
        </w:tabs>
        <w:ind w:left="1134"/>
        <w:jc w:val="both"/>
        <w:rPr>
          <w:b/>
          <w:smallCaps/>
        </w:rPr>
      </w:pPr>
      <w:r>
        <w:rPr>
          <w:b/>
          <w:smallCaps/>
        </w:rPr>
        <w:t xml:space="preserve">Localisation du </w:t>
      </w:r>
      <w:r w:rsidRPr="009C515B">
        <w:rPr>
          <w:b/>
          <w:smallCaps/>
        </w:rPr>
        <w:t>contribuable </w:t>
      </w:r>
    </w:p>
    <w:p w:rsidR="00D30721" w:rsidRDefault="00D30721" w:rsidP="00796D8A">
      <w:pPr>
        <w:tabs>
          <w:tab w:val="left" w:pos="2700"/>
          <w:tab w:val="left" w:pos="2880"/>
        </w:tabs>
        <w:ind w:left="1134"/>
        <w:jc w:val="both"/>
        <w:rPr>
          <w:b/>
        </w:rPr>
      </w:pPr>
    </w:p>
    <w:p w:rsidR="00D30721" w:rsidRDefault="00D30721" w:rsidP="00796D8A">
      <w:pPr>
        <w:tabs>
          <w:tab w:val="left" w:pos="2700"/>
          <w:tab w:val="left" w:pos="2880"/>
        </w:tabs>
        <w:ind w:left="1134"/>
        <w:jc w:val="both"/>
      </w:pPr>
      <w:r>
        <w:t>Pour savoir dans quelle région un contribuable va être soumis à l’impôt des personnes physiques, l’article 5/1, § 2 de la loi sur le financement introduit une présomption basée sur le domicile fiscal d contribuable au 1</w:t>
      </w:r>
      <w:r w:rsidRPr="002233BF">
        <w:rPr>
          <w:vertAlign w:val="superscript"/>
        </w:rPr>
        <w:t>er</w:t>
      </w:r>
      <w:r>
        <w:t xml:space="preserve"> janvier de l’exercice d’imposition à l’impôt des personnes physiques.</w:t>
      </w:r>
    </w:p>
    <w:p w:rsidR="00D30721" w:rsidRDefault="00D30721" w:rsidP="00796D8A">
      <w:pPr>
        <w:tabs>
          <w:tab w:val="left" w:pos="2700"/>
          <w:tab w:val="left" w:pos="2880"/>
        </w:tabs>
        <w:ind w:left="1134"/>
        <w:jc w:val="both"/>
      </w:pPr>
    </w:p>
    <w:p w:rsidR="00D30721" w:rsidRPr="00796D8A" w:rsidRDefault="00D30721" w:rsidP="00796D8A">
      <w:pPr>
        <w:pStyle w:val="ListParagraph"/>
        <w:numPr>
          <w:ilvl w:val="0"/>
          <w:numId w:val="3"/>
        </w:numPr>
        <w:jc w:val="both"/>
        <w:rPr>
          <w:b/>
        </w:rPr>
      </w:pPr>
      <w:r w:rsidRPr="00796D8A">
        <w:rPr>
          <w:b/>
          <w:u w:val="single"/>
        </w:rPr>
        <w:t>COMPETENCES DE LA REGION.</w:t>
      </w:r>
    </w:p>
    <w:p w:rsidR="00D30721" w:rsidRDefault="00D30721" w:rsidP="00447382">
      <w:pPr>
        <w:ind w:left="1980" w:firstLine="5"/>
        <w:jc w:val="both"/>
      </w:pPr>
    </w:p>
    <w:p w:rsidR="00D30721" w:rsidRDefault="00D30721" w:rsidP="00796D8A">
      <w:pPr>
        <w:tabs>
          <w:tab w:val="left" w:pos="2700"/>
          <w:tab w:val="left" w:pos="2880"/>
        </w:tabs>
        <w:ind w:left="1134"/>
        <w:jc w:val="both"/>
      </w:pPr>
      <w:r>
        <w:t>Le législateur fédéral reste exclusivement compétent pour la détermination de la base d’imposition et pour la détermination du précompte professionnel.</w:t>
      </w:r>
    </w:p>
    <w:p w:rsidR="00D30721" w:rsidRDefault="00D30721" w:rsidP="00447382">
      <w:pPr>
        <w:tabs>
          <w:tab w:val="left" w:pos="2700"/>
          <w:tab w:val="left" w:pos="2880"/>
        </w:tabs>
        <w:ind w:left="1276"/>
        <w:jc w:val="both"/>
      </w:pPr>
    </w:p>
    <w:p w:rsidR="00D30721" w:rsidRDefault="00D30721" w:rsidP="00796D8A">
      <w:pPr>
        <w:tabs>
          <w:tab w:val="left" w:pos="2700"/>
          <w:tab w:val="left" w:pos="2880"/>
        </w:tabs>
        <w:ind w:left="1134"/>
        <w:jc w:val="both"/>
      </w:pPr>
      <w:r>
        <w:t>En outre, les Régions ont interdiction de diminuer la progressivité de l’impôt des personnes physiques.</w:t>
      </w:r>
    </w:p>
    <w:p w:rsidR="00D30721" w:rsidRDefault="00D30721" w:rsidP="00447382">
      <w:pPr>
        <w:tabs>
          <w:tab w:val="left" w:pos="2700"/>
          <w:tab w:val="left" w:pos="2880"/>
        </w:tabs>
        <w:ind w:left="1276"/>
        <w:jc w:val="both"/>
      </w:pPr>
    </w:p>
    <w:p w:rsidR="00D30721" w:rsidRDefault="00D30721" w:rsidP="00796D8A">
      <w:pPr>
        <w:tabs>
          <w:tab w:val="left" w:pos="2700"/>
          <w:tab w:val="left" w:pos="2880"/>
        </w:tabs>
        <w:ind w:left="1134"/>
        <w:jc w:val="both"/>
      </w:pPr>
      <w:r>
        <w:t>Les Régions ont cependant la possibilité de différencier les additionnels régionaux par tranches d’impôts pour autant que :</w:t>
      </w:r>
    </w:p>
    <w:p w:rsidR="00D30721" w:rsidRDefault="00D30721" w:rsidP="00447382">
      <w:pPr>
        <w:tabs>
          <w:tab w:val="left" w:pos="2700"/>
          <w:tab w:val="left" w:pos="2880"/>
        </w:tabs>
        <w:ind w:left="1276"/>
        <w:jc w:val="both"/>
      </w:pPr>
    </w:p>
    <w:p w:rsidR="00D30721" w:rsidRDefault="00D30721" w:rsidP="0071226C">
      <w:pPr>
        <w:pStyle w:val="ListParagraph"/>
        <w:numPr>
          <w:ilvl w:val="0"/>
          <w:numId w:val="2"/>
        </w:numPr>
        <w:tabs>
          <w:tab w:val="left" w:pos="2700"/>
          <w:tab w:val="left" w:pos="2880"/>
        </w:tabs>
        <w:ind w:left="2700" w:hanging="1424"/>
        <w:jc w:val="both"/>
      </w:pPr>
      <w:r>
        <w:t>le taux d’additionnels régional sur une tranche d’impôt ne soit pas inférieur à 90% du taux d’additionnels régional le plus élevé parmi les tranches inférieures d’impôt ;</w:t>
      </w:r>
    </w:p>
    <w:p w:rsidR="00D30721" w:rsidRDefault="00D30721" w:rsidP="00447382">
      <w:pPr>
        <w:pStyle w:val="ListParagraph"/>
        <w:tabs>
          <w:tab w:val="left" w:pos="2700"/>
          <w:tab w:val="left" w:pos="2880"/>
        </w:tabs>
        <w:ind w:left="1636"/>
        <w:jc w:val="both"/>
      </w:pPr>
    </w:p>
    <w:p w:rsidR="00D30721" w:rsidRDefault="00D30721" w:rsidP="0071226C">
      <w:pPr>
        <w:pStyle w:val="ListParagraph"/>
        <w:numPr>
          <w:ilvl w:val="0"/>
          <w:numId w:val="2"/>
        </w:numPr>
        <w:tabs>
          <w:tab w:val="left" w:pos="2700"/>
          <w:tab w:val="left" w:pos="2880"/>
        </w:tabs>
        <w:ind w:left="2700" w:hanging="1424"/>
        <w:jc w:val="both"/>
      </w:pPr>
      <w:r>
        <w:t>et que l’avantage fiscal par contribuable résultant de la dérogation à la règle de progressivité ne soit pas supérieur à 1.000 € par an indexés.</w:t>
      </w:r>
    </w:p>
    <w:p w:rsidR="00D30721" w:rsidRDefault="00D30721" w:rsidP="00447382">
      <w:pPr>
        <w:tabs>
          <w:tab w:val="left" w:pos="2700"/>
          <w:tab w:val="left" w:pos="2880"/>
        </w:tabs>
        <w:ind w:left="1276"/>
        <w:jc w:val="both"/>
      </w:pPr>
    </w:p>
    <w:p w:rsidR="00D30721" w:rsidRDefault="00D30721" w:rsidP="00796D8A">
      <w:pPr>
        <w:tabs>
          <w:tab w:val="left" w:pos="2700"/>
          <w:tab w:val="left" w:pos="2880"/>
        </w:tabs>
        <w:ind w:left="1134"/>
        <w:jc w:val="both"/>
      </w:pPr>
      <w:r>
        <w:t xml:space="preserve">Concernant les compétences matérielles des Régions, celles-ci reçoivent </w:t>
      </w:r>
      <w:r w:rsidRPr="0071226C">
        <w:rPr>
          <w:b/>
        </w:rPr>
        <w:t>l’exclusivité</w:t>
      </w:r>
      <w:r>
        <w:t xml:space="preserve"> de compétences pour une série d’avantages fiscaux tels que les réductions et crédits d’impôt énumérés strictement dans la loi spéciale de financement, et notamment relatifs aux dépenses suivantes :</w:t>
      </w:r>
    </w:p>
    <w:p w:rsidR="00D30721" w:rsidRDefault="00D30721" w:rsidP="00447382">
      <w:pPr>
        <w:tabs>
          <w:tab w:val="left" w:pos="2700"/>
          <w:tab w:val="left" w:pos="2880"/>
        </w:tabs>
        <w:ind w:left="1276"/>
        <w:jc w:val="both"/>
      </w:pPr>
    </w:p>
    <w:p w:rsidR="00D30721" w:rsidRDefault="00D30721" w:rsidP="0071226C">
      <w:pPr>
        <w:pStyle w:val="ListParagraph"/>
        <w:numPr>
          <w:ilvl w:val="0"/>
          <w:numId w:val="2"/>
        </w:numPr>
        <w:tabs>
          <w:tab w:val="left" w:pos="2700"/>
          <w:tab w:val="left" w:pos="2880"/>
        </w:tabs>
        <w:ind w:left="2700" w:hanging="1424"/>
        <w:jc w:val="both"/>
      </w:pPr>
      <w:r>
        <w:t>les dépenses en vue d’acquérir ou de conserver l’habitation propre ;</w:t>
      </w:r>
    </w:p>
    <w:p w:rsidR="00D30721" w:rsidRDefault="00D30721" w:rsidP="0071226C">
      <w:pPr>
        <w:pStyle w:val="ListParagraph"/>
        <w:tabs>
          <w:tab w:val="left" w:pos="2700"/>
          <w:tab w:val="left" w:pos="2880"/>
        </w:tabs>
        <w:ind w:left="2700" w:hanging="1424"/>
        <w:jc w:val="both"/>
      </w:pPr>
    </w:p>
    <w:p w:rsidR="00D30721" w:rsidRDefault="00D30721" w:rsidP="0071226C">
      <w:pPr>
        <w:pStyle w:val="ListParagraph"/>
        <w:numPr>
          <w:ilvl w:val="0"/>
          <w:numId w:val="2"/>
        </w:numPr>
        <w:tabs>
          <w:tab w:val="left" w:pos="2700"/>
          <w:tab w:val="left" w:pos="2880"/>
        </w:tabs>
        <w:ind w:left="2700" w:hanging="1424"/>
        <w:jc w:val="both"/>
      </w:pPr>
      <w:r>
        <w:t>les dépenses de sécurisation des habitations contre le vol ou l’incendie ;</w:t>
      </w:r>
    </w:p>
    <w:p w:rsidR="00D30721" w:rsidRDefault="00D30721" w:rsidP="0071226C">
      <w:pPr>
        <w:tabs>
          <w:tab w:val="left" w:pos="2700"/>
          <w:tab w:val="left" w:pos="2880"/>
        </w:tabs>
        <w:ind w:left="2700" w:hanging="1424"/>
        <w:jc w:val="both"/>
      </w:pPr>
    </w:p>
    <w:p w:rsidR="00D30721" w:rsidRDefault="00D30721" w:rsidP="0071226C">
      <w:pPr>
        <w:pStyle w:val="ListParagraph"/>
        <w:numPr>
          <w:ilvl w:val="0"/>
          <w:numId w:val="2"/>
        </w:numPr>
        <w:tabs>
          <w:tab w:val="left" w:pos="2700"/>
          <w:tab w:val="left" w:pos="2880"/>
        </w:tabs>
        <w:ind w:left="2700" w:hanging="1424"/>
        <w:jc w:val="both"/>
      </w:pPr>
      <w:r>
        <w:t>les dépenses pour l’entretien et la restauration de monuments et sites classés ;</w:t>
      </w:r>
    </w:p>
    <w:p w:rsidR="00D30721" w:rsidRDefault="00D30721" w:rsidP="0071226C">
      <w:pPr>
        <w:pStyle w:val="ListParagraph"/>
        <w:tabs>
          <w:tab w:val="left" w:pos="2700"/>
          <w:tab w:val="left" w:pos="2880"/>
        </w:tabs>
        <w:ind w:left="0"/>
        <w:jc w:val="both"/>
      </w:pPr>
    </w:p>
    <w:p w:rsidR="00D30721" w:rsidRDefault="00D30721" w:rsidP="0071226C">
      <w:pPr>
        <w:pStyle w:val="ListParagraph"/>
        <w:numPr>
          <w:ilvl w:val="0"/>
          <w:numId w:val="2"/>
        </w:numPr>
        <w:tabs>
          <w:tab w:val="left" w:pos="2700"/>
          <w:tab w:val="left" w:pos="2880"/>
        </w:tabs>
        <w:ind w:left="2700" w:hanging="1424"/>
        <w:jc w:val="both"/>
      </w:pPr>
      <w:r>
        <w:t>les dépenses payées pour des prestations dans le cadre des agences locales pour l’emploi et pour des prestations payées avec des titres-services autres que des titres-services sociaux ;</w:t>
      </w:r>
    </w:p>
    <w:p w:rsidR="00D30721" w:rsidRDefault="00D30721" w:rsidP="00447382">
      <w:pPr>
        <w:pStyle w:val="ListParagraph"/>
        <w:tabs>
          <w:tab w:val="left" w:pos="2700"/>
          <w:tab w:val="left" w:pos="2880"/>
        </w:tabs>
        <w:ind w:left="1636"/>
        <w:jc w:val="both"/>
      </w:pPr>
    </w:p>
    <w:p w:rsidR="00D30721" w:rsidRDefault="00D30721" w:rsidP="0071226C">
      <w:pPr>
        <w:pStyle w:val="ListParagraph"/>
        <w:numPr>
          <w:ilvl w:val="0"/>
          <w:numId w:val="2"/>
        </w:numPr>
        <w:tabs>
          <w:tab w:val="left" w:pos="2700"/>
          <w:tab w:val="left" w:pos="2880"/>
        </w:tabs>
        <w:ind w:left="2700" w:hanging="1424"/>
        <w:jc w:val="both"/>
      </w:pPr>
      <w:r>
        <w:t>les dépenses faites en vue d’économiser l’énergie dans une habitation à l’exclusion des intérêts qui se rapportent à des contrats de prêt visés à l’article 2 de la loi de relance économique du 27 mars 2009 ;</w:t>
      </w:r>
    </w:p>
    <w:p w:rsidR="00D30721" w:rsidRDefault="00D30721" w:rsidP="0071226C">
      <w:pPr>
        <w:pStyle w:val="ListParagraph"/>
        <w:ind w:left="2700" w:hanging="1424"/>
      </w:pPr>
    </w:p>
    <w:p w:rsidR="00D30721" w:rsidRDefault="00D30721" w:rsidP="0071226C">
      <w:pPr>
        <w:pStyle w:val="ListParagraph"/>
        <w:numPr>
          <w:ilvl w:val="0"/>
          <w:numId w:val="2"/>
        </w:numPr>
        <w:tabs>
          <w:tab w:val="left" w:pos="2700"/>
          <w:tab w:val="left" w:pos="2880"/>
        </w:tabs>
        <w:ind w:left="2700" w:hanging="1424"/>
        <w:jc w:val="both"/>
      </w:pPr>
      <w:r>
        <w:t>les dépenses de rénovation d’habitations situées dans une zone d’action positive des grandes villes ;</w:t>
      </w:r>
    </w:p>
    <w:p w:rsidR="00D30721" w:rsidRDefault="00D30721" w:rsidP="0071226C">
      <w:pPr>
        <w:pStyle w:val="ListParagraph"/>
        <w:ind w:left="2700" w:hanging="1424"/>
      </w:pPr>
    </w:p>
    <w:p w:rsidR="00D30721" w:rsidRDefault="00D30721" w:rsidP="0071226C">
      <w:pPr>
        <w:pStyle w:val="ListParagraph"/>
        <w:numPr>
          <w:ilvl w:val="0"/>
          <w:numId w:val="2"/>
        </w:numPr>
        <w:tabs>
          <w:tab w:val="left" w:pos="2700"/>
          <w:tab w:val="left" w:pos="2880"/>
        </w:tabs>
        <w:ind w:left="2700" w:hanging="1424"/>
        <w:jc w:val="both"/>
      </w:pPr>
      <w:r>
        <w:t>les dépenses de rénovation d’habitations données en location à loyer modéré.</w:t>
      </w:r>
    </w:p>
    <w:p w:rsidR="00D30721" w:rsidRDefault="00D30721" w:rsidP="00447382">
      <w:pPr>
        <w:tabs>
          <w:tab w:val="left" w:pos="2700"/>
          <w:tab w:val="left" w:pos="2880"/>
        </w:tabs>
        <w:ind w:left="1276"/>
        <w:jc w:val="both"/>
      </w:pPr>
    </w:p>
    <w:p w:rsidR="00D30721" w:rsidRDefault="00D30721" w:rsidP="00796D8A">
      <w:pPr>
        <w:tabs>
          <w:tab w:val="left" w:pos="2700"/>
          <w:tab w:val="left" w:pos="2880"/>
        </w:tabs>
        <w:ind w:left="1134"/>
        <w:jc w:val="both"/>
      </w:pPr>
      <w:r>
        <w:t>Leur compétence n’est cependant pas limitée à cette liste de manière telle qu’en-dehors de cette liste, la compétence des Régions peut être également couplée à une compétence fédérale.</w:t>
      </w:r>
      <w:bookmarkStart w:id="0" w:name="_GoBack"/>
      <w:bookmarkEnd w:id="0"/>
    </w:p>
    <w:sectPr w:rsidR="00D30721" w:rsidSect="00620DB0">
      <w:headerReference w:type="default" r:id="rId7"/>
      <w:headerReference w:type="first" r:id="rId8"/>
      <w:footerReference w:type="first" r:id="rId9"/>
      <w:pgSz w:w="11906" w:h="16838" w:code="9"/>
      <w:pgMar w:top="851" w:right="1418" w:bottom="1418" w:left="1418" w:header="1134"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721" w:rsidRDefault="00D30721" w:rsidP="00796D8A">
      <w:r>
        <w:separator/>
      </w:r>
    </w:p>
  </w:endnote>
  <w:endnote w:type="continuationSeparator" w:id="0">
    <w:p w:rsidR="00D30721" w:rsidRDefault="00D30721" w:rsidP="00796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21" w:rsidRDefault="00D30721" w:rsidP="00C46CD7">
    <w:pPr>
      <w:pStyle w:val="Footer"/>
      <w:tabs>
        <w:tab w:val="clear" w:pos="4536"/>
        <w:tab w:val="center" w:pos="5760"/>
      </w:tabs>
      <w:rPr>
        <w:sz w:val="16"/>
        <w:szCs w:val="16"/>
      </w:rPr>
    </w:pPr>
  </w:p>
  <w:p w:rsidR="00D30721" w:rsidRDefault="00D30721" w:rsidP="00096376">
    <w:pPr>
      <w:pStyle w:val="Footer"/>
      <w:tabs>
        <w:tab w:val="clear" w:pos="4536"/>
        <w:tab w:val="left" w:pos="3270"/>
        <w:tab w:val="left" w:pos="5145"/>
        <w:tab w:val="center" w:pos="57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721" w:rsidRDefault="00D30721" w:rsidP="00796D8A">
      <w:r>
        <w:separator/>
      </w:r>
    </w:p>
  </w:footnote>
  <w:footnote w:type="continuationSeparator" w:id="0">
    <w:p w:rsidR="00D30721" w:rsidRDefault="00D30721" w:rsidP="00796D8A">
      <w:r>
        <w:continuationSeparator/>
      </w:r>
    </w:p>
  </w:footnote>
  <w:footnote w:id="1">
    <w:p w:rsidR="00D30721" w:rsidRDefault="00D30721">
      <w:pPr>
        <w:pStyle w:val="FootnoteText"/>
      </w:pPr>
      <w:r>
        <w:rPr>
          <w:rStyle w:val="FootnoteReference"/>
        </w:rPr>
        <w:footnoteRef/>
      </w:r>
      <w:r>
        <w:t xml:space="preserve"> Sur base de la conférence Taxe Institute Ulg donnée par Marc BOURGEOIS le 26 février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21" w:rsidRDefault="00D30721" w:rsidP="00620DB0">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D30721" w:rsidRDefault="00D30721">
    <w:pPr>
      <w:pStyle w:val="Header"/>
      <w:rPr>
        <w:rStyle w:val="PageNumber"/>
      </w:rPr>
    </w:pPr>
  </w:p>
  <w:p w:rsidR="00D30721" w:rsidRDefault="00D307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21" w:rsidRDefault="00D30721">
    <w:pPr>
      <w:pStyle w:val="Header"/>
      <w:tabs>
        <w:tab w:val="clear" w:pos="4536"/>
        <w:tab w:val="center" w:pos="5580"/>
      </w:tabs>
    </w:pPr>
  </w:p>
  <w:p w:rsidR="00D30721" w:rsidRDefault="00D30721">
    <w:pPr>
      <w:pStyle w:val="Header"/>
      <w:tabs>
        <w:tab w:val="clear" w:pos="4536"/>
        <w:tab w:val="center" w:pos="55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A2F85"/>
    <w:multiLevelType w:val="hybridMultilevel"/>
    <w:tmpl w:val="30E29812"/>
    <w:lvl w:ilvl="0" w:tplc="DB169972">
      <w:start w:val="1"/>
      <w:numFmt w:val="decimal"/>
      <w:lvlText w:val="%1."/>
      <w:lvlJc w:val="left"/>
      <w:pPr>
        <w:ind w:left="2345" w:hanging="360"/>
      </w:pPr>
      <w:rPr>
        <w:rFonts w:cs="Times New Roman" w:hint="default"/>
      </w:rPr>
    </w:lvl>
    <w:lvl w:ilvl="1" w:tplc="080C0019" w:tentative="1">
      <w:start w:val="1"/>
      <w:numFmt w:val="lowerLetter"/>
      <w:lvlText w:val="%2."/>
      <w:lvlJc w:val="left"/>
      <w:pPr>
        <w:ind w:left="3065" w:hanging="360"/>
      </w:pPr>
      <w:rPr>
        <w:rFonts w:cs="Times New Roman"/>
      </w:rPr>
    </w:lvl>
    <w:lvl w:ilvl="2" w:tplc="080C001B" w:tentative="1">
      <w:start w:val="1"/>
      <w:numFmt w:val="lowerRoman"/>
      <w:lvlText w:val="%3."/>
      <w:lvlJc w:val="right"/>
      <w:pPr>
        <w:ind w:left="3785" w:hanging="180"/>
      </w:pPr>
      <w:rPr>
        <w:rFonts w:cs="Times New Roman"/>
      </w:rPr>
    </w:lvl>
    <w:lvl w:ilvl="3" w:tplc="080C000F" w:tentative="1">
      <w:start w:val="1"/>
      <w:numFmt w:val="decimal"/>
      <w:lvlText w:val="%4."/>
      <w:lvlJc w:val="left"/>
      <w:pPr>
        <w:ind w:left="4505" w:hanging="360"/>
      </w:pPr>
      <w:rPr>
        <w:rFonts w:cs="Times New Roman"/>
      </w:rPr>
    </w:lvl>
    <w:lvl w:ilvl="4" w:tplc="080C0019" w:tentative="1">
      <w:start w:val="1"/>
      <w:numFmt w:val="lowerLetter"/>
      <w:lvlText w:val="%5."/>
      <w:lvlJc w:val="left"/>
      <w:pPr>
        <w:ind w:left="5225" w:hanging="360"/>
      </w:pPr>
      <w:rPr>
        <w:rFonts w:cs="Times New Roman"/>
      </w:rPr>
    </w:lvl>
    <w:lvl w:ilvl="5" w:tplc="080C001B" w:tentative="1">
      <w:start w:val="1"/>
      <w:numFmt w:val="lowerRoman"/>
      <w:lvlText w:val="%6."/>
      <w:lvlJc w:val="right"/>
      <w:pPr>
        <w:ind w:left="5945" w:hanging="180"/>
      </w:pPr>
      <w:rPr>
        <w:rFonts w:cs="Times New Roman"/>
      </w:rPr>
    </w:lvl>
    <w:lvl w:ilvl="6" w:tplc="080C000F" w:tentative="1">
      <w:start w:val="1"/>
      <w:numFmt w:val="decimal"/>
      <w:lvlText w:val="%7."/>
      <w:lvlJc w:val="left"/>
      <w:pPr>
        <w:ind w:left="6665" w:hanging="360"/>
      </w:pPr>
      <w:rPr>
        <w:rFonts w:cs="Times New Roman"/>
      </w:rPr>
    </w:lvl>
    <w:lvl w:ilvl="7" w:tplc="080C0019" w:tentative="1">
      <w:start w:val="1"/>
      <w:numFmt w:val="lowerLetter"/>
      <w:lvlText w:val="%8."/>
      <w:lvlJc w:val="left"/>
      <w:pPr>
        <w:ind w:left="7385" w:hanging="360"/>
      </w:pPr>
      <w:rPr>
        <w:rFonts w:cs="Times New Roman"/>
      </w:rPr>
    </w:lvl>
    <w:lvl w:ilvl="8" w:tplc="080C001B" w:tentative="1">
      <w:start w:val="1"/>
      <w:numFmt w:val="lowerRoman"/>
      <w:lvlText w:val="%9."/>
      <w:lvlJc w:val="right"/>
      <w:pPr>
        <w:ind w:left="8105" w:hanging="180"/>
      </w:pPr>
      <w:rPr>
        <w:rFonts w:cs="Times New Roman"/>
      </w:rPr>
    </w:lvl>
  </w:abstractNum>
  <w:abstractNum w:abstractNumId="1">
    <w:nsid w:val="334528C5"/>
    <w:multiLevelType w:val="hybridMultilevel"/>
    <w:tmpl w:val="27D6AAFE"/>
    <w:lvl w:ilvl="0" w:tplc="91445242">
      <w:start w:val="1"/>
      <w:numFmt w:val="bullet"/>
      <w:lvlText w:val="-"/>
      <w:lvlJc w:val="left"/>
      <w:pPr>
        <w:ind w:left="1636" w:hanging="360"/>
      </w:pPr>
      <w:rPr>
        <w:rFonts w:ascii="Times New Roman" w:eastAsia="Times New Roman" w:hAnsi="Times New Roman" w:hint="default"/>
      </w:rPr>
    </w:lvl>
    <w:lvl w:ilvl="1" w:tplc="080C0003">
      <w:start w:val="1"/>
      <w:numFmt w:val="bullet"/>
      <w:lvlText w:val="o"/>
      <w:lvlJc w:val="left"/>
      <w:pPr>
        <w:ind w:left="2356" w:hanging="360"/>
      </w:pPr>
      <w:rPr>
        <w:rFonts w:ascii="Courier New" w:hAnsi="Courier New" w:hint="default"/>
      </w:rPr>
    </w:lvl>
    <w:lvl w:ilvl="2" w:tplc="080C0005" w:tentative="1">
      <w:start w:val="1"/>
      <w:numFmt w:val="bullet"/>
      <w:lvlText w:val=""/>
      <w:lvlJc w:val="left"/>
      <w:pPr>
        <w:ind w:left="3076" w:hanging="360"/>
      </w:pPr>
      <w:rPr>
        <w:rFonts w:ascii="Wingdings" w:hAnsi="Wingdings" w:hint="default"/>
      </w:rPr>
    </w:lvl>
    <w:lvl w:ilvl="3" w:tplc="080C0001" w:tentative="1">
      <w:start w:val="1"/>
      <w:numFmt w:val="bullet"/>
      <w:lvlText w:val=""/>
      <w:lvlJc w:val="left"/>
      <w:pPr>
        <w:ind w:left="3796" w:hanging="360"/>
      </w:pPr>
      <w:rPr>
        <w:rFonts w:ascii="Symbol" w:hAnsi="Symbol" w:hint="default"/>
      </w:rPr>
    </w:lvl>
    <w:lvl w:ilvl="4" w:tplc="080C0003" w:tentative="1">
      <w:start w:val="1"/>
      <w:numFmt w:val="bullet"/>
      <w:lvlText w:val="o"/>
      <w:lvlJc w:val="left"/>
      <w:pPr>
        <w:ind w:left="4516" w:hanging="360"/>
      </w:pPr>
      <w:rPr>
        <w:rFonts w:ascii="Courier New" w:hAnsi="Courier New" w:hint="default"/>
      </w:rPr>
    </w:lvl>
    <w:lvl w:ilvl="5" w:tplc="080C0005" w:tentative="1">
      <w:start w:val="1"/>
      <w:numFmt w:val="bullet"/>
      <w:lvlText w:val=""/>
      <w:lvlJc w:val="left"/>
      <w:pPr>
        <w:ind w:left="5236" w:hanging="360"/>
      </w:pPr>
      <w:rPr>
        <w:rFonts w:ascii="Wingdings" w:hAnsi="Wingdings" w:hint="default"/>
      </w:rPr>
    </w:lvl>
    <w:lvl w:ilvl="6" w:tplc="080C0001" w:tentative="1">
      <w:start w:val="1"/>
      <w:numFmt w:val="bullet"/>
      <w:lvlText w:val=""/>
      <w:lvlJc w:val="left"/>
      <w:pPr>
        <w:ind w:left="5956" w:hanging="360"/>
      </w:pPr>
      <w:rPr>
        <w:rFonts w:ascii="Symbol" w:hAnsi="Symbol" w:hint="default"/>
      </w:rPr>
    </w:lvl>
    <w:lvl w:ilvl="7" w:tplc="080C0003" w:tentative="1">
      <w:start w:val="1"/>
      <w:numFmt w:val="bullet"/>
      <w:lvlText w:val="o"/>
      <w:lvlJc w:val="left"/>
      <w:pPr>
        <w:ind w:left="6676" w:hanging="360"/>
      </w:pPr>
      <w:rPr>
        <w:rFonts w:ascii="Courier New" w:hAnsi="Courier New" w:hint="default"/>
      </w:rPr>
    </w:lvl>
    <w:lvl w:ilvl="8" w:tplc="080C0005" w:tentative="1">
      <w:start w:val="1"/>
      <w:numFmt w:val="bullet"/>
      <w:lvlText w:val=""/>
      <w:lvlJc w:val="left"/>
      <w:pPr>
        <w:ind w:left="7396" w:hanging="360"/>
      </w:pPr>
      <w:rPr>
        <w:rFonts w:ascii="Wingdings" w:hAnsi="Wingdings" w:hint="default"/>
      </w:rPr>
    </w:lvl>
  </w:abstractNum>
  <w:abstractNum w:abstractNumId="2">
    <w:nsid w:val="6AC01E3D"/>
    <w:multiLevelType w:val="hybridMultilevel"/>
    <w:tmpl w:val="1CB0E502"/>
    <w:lvl w:ilvl="0" w:tplc="2EEC732A">
      <w:start w:val="1"/>
      <w:numFmt w:val="decimal"/>
      <w:lvlText w:val="%1."/>
      <w:lvlJc w:val="left"/>
      <w:pPr>
        <w:ind w:left="1499" w:hanging="360"/>
      </w:pPr>
      <w:rPr>
        <w:rFonts w:cs="Times New Roman" w:hint="default"/>
        <w:b/>
      </w:rPr>
    </w:lvl>
    <w:lvl w:ilvl="1" w:tplc="080C0019" w:tentative="1">
      <w:start w:val="1"/>
      <w:numFmt w:val="lowerLetter"/>
      <w:lvlText w:val="%2."/>
      <w:lvlJc w:val="left"/>
      <w:pPr>
        <w:ind w:left="2219" w:hanging="360"/>
      </w:pPr>
      <w:rPr>
        <w:rFonts w:cs="Times New Roman"/>
      </w:rPr>
    </w:lvl>
    <w:lvl w:ilvl="2" w:tplc="080C001B" w:tentative="1">
      <w:start w:val="1"/>
      <w:numFmt w:val="lowerRoman"/>
      <w:lvlText w:val="%3."/>
      <w:lvlJc w:val="right"/>
      <w:pPr>
        <w:ind w:left="2939" w:hanging="180"/>
      </w:pPr>
      <w:rPr>
        <w:rFonts w:cs="Times New Roman"/>
      </w:rPr>
    </w:lvl>
    <w:lvl w:ilvl="3" w:tplc="080C000F" w:tentative="1">
      <w:start w:val="1"/>
      <w:numFmt w:val="decimal"/>
      <w:lvlText w:val="%4."/>
      <w:lvlJc w:val="left"/>
      <w:pPr>
        <w:ind w:left="3659" w:hanging="360"/>
      </w:pPr>
      <w:rPr>
        <w:rFonts w:cs="Times New Roman"/>
      </w:rPr>
    </w:lvl>
    <w:lvl w:ilvl="4" w:tplc="080C0019" w:tentative="1">
      <w:start w:val="1"/>
      <w:numFmt w:val="lowerLetter"/>
      <w:lvlText w:val="%5."/>
      <w:lvlJc w:val="left"/>
      <w:pPr>
        <w:ind w:left="4379" w:hanging="360"/>
      </w:pPr>
      <w:rPr>
        <w:rFonts w:cs="Times New Roman"/>
      </w:rPr>
    </w:lvl>
    <w:lvl w:ilvl="5" w:tplc="080C001B" w:tentative="1">
      <w:start w:val="1"/>
      <w:numFmt w:val="lowerRoman"/>
      <w:lvlText w:val="%6."/>
      <w:lvlJc w:val="right"/>
      <w:pPr>
        <w:ind w:left="5099" w:hanging="180"/>
      </w:pPr>
      <w:rPr>
        <w:rFonts w:cs="Times New Roman"/>
      </w:rPr>
    </w:lvl>
    <w:lvl w:ilvl="6" w:tplc="080C000F" w:tentative="1">
      <w:start w:val="1"/>
      <w:numFmt w:val="decimal"/>
      <w:lvlText w:val="%7."/>
      <w:lvlJc w:val="left"/>
      <w:pPr>
        <w:ind w:left="5819" w:hanging="360"/>
      </w:pPr>
      <w:rPr>
        <w:rFonts w:cs="Times New Roman"/>
      </w:rPr>
    </w:lvl>
    <w:lvl w:ilvl="7" w:tplc="080C0019" w:tentative="1">
      <w:start w:val="1"/>
      <w:numFmt w:val="lowerLetter"/>
      <w:lvlText w:val="%8."/>
      <w:lvlJc w:val="left"/>
      <w:pPr>
        <w:ind w:left="6539" w:hanging="360"/>
      </w:pPr>
      <w:rPr>
        <w:rFonts w:cs="Times New Roman"/>
      </w:rPr>
    </w:lvl>
    <w:lvl w:ilvl="8" w:tplc="080C001B" w:tentative="1">
      <w:start w:val="1"/>
      <w:numFmt w:val="lowerRoman"/>
      <w:lvlText w:val="%9."/>
      <w:lvlJc w:val="right"/>
      <w:pPr>
        <w:ind w:left="7259"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382"/>
    <w:rsid w:val="00096376"/>
    <w:rsid w:val="000963FF"/>
    <w:rsid w:val="001324E7"/>
    <w:rsid w:val="001A3F3D"/>
    <w:rsid w:val="002233BF"/>
    <w:rsid w:val="00447382"/>
    <w:rsid w:val="00452BFE"/>
    <w:rsid w:val="00472BFE"/>
    <w:rsid w:val="00550480"/>
    <w:rsid w:val="00620DB0"/>
    <w:rsid w:val="00675576"/>
    <w:rsid w:val="0071226C"/>
    <w:rsid w:val="00796D8A"/>
    <w:rsid w:val="007F4417"/>
    <w:rsid w:val="009C515B"/>
    <w:rsid w:val="00A11637"/>
    <w:rsid w:val="00A46174"/>
    <w:rsid w:val="00A5081D"/>
    <w:rsid w:val="00B32D61"/>
    <w:rsid w:val="00C46CD7"/>
    <w:rsid w:val="00D30721"/>
    <w:rsid w:val="00E8153D"/>
    <w:rsid w:val="00EB3DC0"/>
    <w:rsid w:val="00F10C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82"/>
    <w:rPr>
      <w:rFonts w:ascii="Times New Roman" w:eastAsia="Times New Roman" w:hAnsi="Times New Roman"/>
      <w:sz w:val="24"/>
      <w:szCs w:val="24"/>
      <w:lang w:val="fr-BE"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7382"/>
    <w:pPr>
      <w:tabs>
        <w:tab w:val="center" w:pos="4536"/>
        <w:tab w:val="right" w:pos="9072"/>
      </w:tabs>
    </w:pPr>
  </w:style>
  <w:style w:type="character" w:customStyle="1" w:styleId="HeaderChar">
    <w:name w:val="Header Char"/>
    <w:basedOn w:val="DefaultParagraphFont"/>
    <w:link w:val="Header"/>
    <w:uiPriority w:val="99"/>
    <w:locked/>
    <w:rsid w:val="00447382"/>
    <w:rPr>
      <w:rFonts w:ascii="Times New Roman" w:hAnsi="Times New Roman" w:cs="Times New Roman"/>
      <w:sz w:val="24"/>
      <w:szCs w:val="24"/>
      <w:lang w:eastAsia="fr-FR"/>
    </w:rPr>
  </w:style>
  <w:style w:type="paragraph" w:styleId="Footer">
    <w:name w:val="footer"/>
    <w:basedOn w:val="Normal"/>
    <w:link w:val="FooterChar"/>
    <w:uiPriority w:val="99"/>
    <w:rsid w:val="00447382"/>
    <w:pPr>
      <w:tabs>
        <w:tab w:val="center" w:pos="4536"/>
        <w:tab w:val="right" w:pos="9072"/>
      </w:tabs>
    </w:pPr>
  </w:style>
  <w:style w:type="character" w:customStyle="1" w:styleId="FooterChar">
    <w:name w:val="Footer Char"/>
    <w:basedOn w:val="DefaultParagraphFont"/>
    <w:link w:val="Footer"/>
    <w:uiPriority w:val="99"/>
    <w:locked/>
    <w:rsid w:val="00447382"/>
    <w:rPr>
      <w:rFonts w:ascii="Times New Roman" w:hAnsi="Times New Roman" w:cs="Times New Roman"/>
      <w:sz w:val="24"/>
      <w:szCs w:val="24"/>
      <w:lang w:eastAsia="fr-FR"/>
    </w:rPr>
  </w:style>
  <w:style w:type="character" w:styleId="PageNumber">
    <w:name w:val="page number"/>
    <w:basedOn w:val="DefaultParagraphFont"/>
    <w:uiPriority w:val="99"/>
    <w:rsid w:val="00447382"/>
    <w:rPr>
      <w:rFonts w:cs="Times New Roman"/>
    </w:rPr>
  </w:style>
  <w:style w:type="paragraph" w:styleId="ListParagraph">
    <w:name w:val="List Paragraph"/>
    <w:basedOn w:val="Normal"/>
    <w:uiPriority w:val="99"/>
    <w:qFormat/>
    <w:rsid w:val="00447382"/>
    <w:pPr>
      <w:ind w:left="720"/>
      <w:contextualSpacing/>
    </w:pPr>
  </w:style>
  <w:style w:type="paragraph" w:styleId="BalloonText">
    <w:name w:val="Balloon Text"/>
    <w:basedOn w:val="Normal"/>
    <w:link w:val="BalloonTextChar"/>
    <w:uiPriority w:val="99"/>
    <w:semiHidden/>
    <w:rsid w:val="004473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382"/>
    <w:rPr>
      <w:rFonts w:ascii="Tahoma" w:hAnsi="Tahoma" w:cs="Tahoma"/>
      <w:sz w:val="16"/>
      <w:szCs w:val="16"/>
      <w:lang w:eastAsia="fr-FR"/>
    </w:rPr>
  </w:style>
  <w:style w:type="paragraph" w:styleId="FootnoteText">
    <w:name w:val="footnote text"/>
    <w:basedOn w:val="Normal"/>
    <w:link w:val="FootnoteTextChar"/>
    <w:uiPriority w:val="99"/>
    <w:semiHidden/>
    <w:rsid w:val="00550480"/>
    <w:rPr>
      <w:sz w:val="20"/>
      <w:szCs w:val="20"/>
    </w:rPr>
  </w:style>
  <w:style w:type="character" w:customStyle="1" w:styleId="FootnoteTextChar">
    <w:name w:val="Footnote Text Char"/>
    <w:basedOn w:val="DefaultParagraphFont"/>
    <w:link w:val="FootnoteText"/>
    <w:uiPriority w:val="99"/>
    <w:semiHidden/>
    <w:locked/>
    <w:rsid w:val="00550480"/>
    <w:rPr>
      <w:rFonts w:ascii="Times New Roman" w:hAnsi="Times New Roman" w:cs="Times New Roman"/>
      <w:sz w:val="20"/>
      <w:szCs w:val="20"/>
      <w:lang w:eastAsia="fr-FR"/>
    </w:rPr>
  </w:style>
  <w:style w:type="character" w:styleId="FootnoteReference">
    <w:name w:val="footnote reference"/>
    <w:basedOn w:val="DefaultParagraphFont"/>
    <w:uiPriority w:val="99"/>
    <w:semiHidden/>
    <w:rsid w:val="0055048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855</Words>
  <Characters>4706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REGIONALISATION DE L’IMPOT DES PERSONNES PHYSIQUES : SIXIEME REFORME DE L’ETAT </dc:title>
  <dc:subject/>
  <dc:creator>user</dc:creator>
  <cp:keywords/>
  <dc:description/>
  <cp:lastModifiedBy>Anne-Thérèse DESFOSSES</cp:lastModifiedBy>
  <cp:revision>2</cp:revision>
  <dcterms:created xsi:type="dcterms:W3CDTF">2014-02-27T11:18:00Z</dcterms:created>
  <dcterms:modified xsi:type="dcterms:W3CDTF">2014-02-27T11:18:00Z</dcterms:modified>
</cp:coreProperties>
</file>